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val="0"/>
        <w:snapToGrid w:val="0"/>
        <w:spacing w:before="0" w:beforeAutospacing="0" w:after="0" w:afterAutospacing="0" w:line="560" w:lineRule="exact"/>
        <w:jc w:val="center"/>
        <w:rPr>
          <w:rFonts w:ascii="方正小标宋_GBK" w:hAnsi="STZhongsong" w:eastAsia="方正小标宋_GBK" w:cs="STZhongsong"/>
          <w:color w:val="000000"/>
          <w:sz w:val="44"/>
          <w:szCs w:val="44"/>
        </w:rPr>
      </w:pPr>
      <w:r>
        <w:rPr>
          <w:rFonts w:hint="eastAsia" w:ascii="方正小标宋_GBK" w:hAnsi="STZhongsong" w:eastAsia="方正小标宋_GBK" w:cs="STZhongsong"/>
          <w:color w:val="000000"/>
          <w:sz w:val="44"/>
          <w:szCs w:val="44"/>
        </w:rPr>
        <w:t>2021—2023年青岛市农机购置补贴</w:t>
      </w:r>
    </w:p>
    <w:p>
      <w:pPr>
        <w:pStyle w:val="3"/>
        <w:widowControl w:val="0"/>
        <w:snapToGrid w:val="0"/>
        <w:spacing w:before="0" w:beforeAutospacing="0" w:after="0" w:afterAutospacing="0" w:line="560" w:lineRule="exact"/>
        <w:jc w:val="center"/>
        <w:rPr>
          <w:rFonts w:ascii="方正小标宋_GBK" w:hAnsi="STZhongsong" w:eastAsia="方正小标宋_GBK" w:cs="STZhongsong"/>
          <w:color w:val="000000"/>
          <w:sz w:val="44"/>
          <w:szCs w:val="44"/>
        </w:rPr>
      </w:pPr>
      <w:r>
        <w:rPr>
          <w:rFonts w:hint="eastAsia" w:ascii="方正小标宋_GBK" w:hAnsi="STZhongsong" w:eastAsia="方正小标宋_GBK" w:cs="STZhongsong"/>
          <w:color w:val="000000"/>
          <w:sz w:val="44"/>
          <w:szCs w:val="44"/>
        </w:rPr>
        <w:t>实施方案</w:t>
      </w:r>
    </w:p>
    <w:p>
      <w:pPr>
        <w:pStyle w:val="3"/>
        <w:widowControl w:val="0"/>
        <w:snapToGrid w:val="0"/>
        <w:spacing w:before="0" w:beforeAutospacing="0" w:after="0" w:afterAutospacing="0" w:line="560" w:lineRule="exact"/>
        <w:jc w:val="center"/>
        <w:rPr>
          <w:rFonts w:ascii="楷体" w:hAnsi="楷体" w:eastAsia="楷体" w:cs="黑体"/>
          <w:color w:val="000000"/>
          <w:sz w:val="32"/>
          <w:szCs w:val="32"/>
        </w:rPr>
      </w:pPr>
      <w:r>
        <w:rPr>
          <w:rFonts w:hint="eastAsia" w:ascii="楷体" w:hAnsi="楷体" w:eastAsia="楷体" w:cs="黑体"/>
          <w:color w:val="000000"/>
          <w:sz w:val="32"/>
          <w:szCs w:val="32"/>
        </w:rPr>
        <w:t>（公示稿）</w:t>
      </w:r>
    </w:p>
    <w:p>
      <w:pPr>
        <w:pStyle w:val="3"/>
        <w:widowControl w:val="0"/>
        <w:snapToGrid w:val="0"/>
        <w:spacing w:before="0" w:beforeAutospacing="0" w:after="0" w:afterAutospacing="0" w:line="560" w:lineRule="exact"/>
        <w:ind w:firstLine="640" w:firstLineChars="200"/>
        <w:jc w:val="center"/>
        <w:rPr>
          <w:rFonts w:ascii="黑体" w:hAnsi="黑体" w:eastAsia="黑体" w:cs="黑体"/>
          <w:color w:val="000000"/>
          <w:sz w:val="32"/>
          <w:szCs w:val="32"/>
        </w:rPr>
      </w:pPr>
    </w:p>
    <w:p>
      <w:pPr>
        <w:pStyle w:val="3"/>
        <w:widowControl w:val="0"/>
        <w:snapToGrid w:val="0"/>
        <w:spacing w:before="0" w:beforeAutospacing="0" w:after="0" w:afterAutospacing="0" w:line="560" w:lineRule="exact"/>
        <w:ind w:firstLine="640" w:firstLineChars="200"/>
        <w:rPr>
          <w:rFonts w:ascii="FangSong_GB2312" w:hAnsi="FangSong_GB2312" w:eastAsia="FangSong_GB2312" w:cs="FangSong_GB2312"/>
          <w:color w:val="000000"/>
          <w:sz w:val="32"/>
          <w:szCs w:val="32"/>
        </w:rPr>
      </w:pPr>
      <w:r>
        <w:rPr>
          <w:rFonts w:hint="eastAsia" w:ascii="黑体" w:hAnsi="黑体" w:eastAsia="黑体" w:cs="黑体"/>
          <w:color w:val="000000"/>
          <w:sz w:val="32"/>
          <w:szCs w:val="32"/>
        </w:rPr>
        <w:t>一、实施原则</w:t>
      </w:r>
      <w:r>
        <w:rPr>
          <w:rFonts w:hint="eastAsia" w:ascii="MS Mincho" w:hAnsi="MS Mincho" w:eastAsia="MS Mincho" w:cs="MS Mincho"/>
          <w:color w:val="000000"/>
          <w:sz w:val="32"/>
          <w:szCs w:val="32"/>
        </w:rPr>
        <w:t> </w:t>
      </w:r>
    </w:p>
    <w:p>
      <w:pPr>
        <w:pStyle w:val="3"/>
        <w:widowControl w:val="0"/>
        <w:snapToGrid w:val="0"/>
        <w:spacing w:before="0" w:beforeAutospacing="0" w:after="0" w:afterAutospacing="0" w:line="560" w:lineRule="exact"/>
        <w:ind w:firstLine="640" w:firstLineChars="20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坚持以习近平新时代中国特色社会主义思想为指导，</w:t>
      </w:r>
      <w:r>
        <w:rPr>
          <w:rFonts w:hint="eastAsia" w:ascii="FangSong_GB2312" w:hAnsi="FangSong_GB2312" w:eastAsia="FangSong_GB2312" w:cs="FangSong_GB2312"/>
          <w:sz w:val="32"/>
          <w:szCs w:val="32"/>
        </w:rPr>
        <w:t>全面贯彻党的十九大和十九届二中、三中、四中、五中全会精神，落实党中央“三农”工作决策部署</w:t>
      </w:r>
      <w:r>
        <w:rPr>
          <w:rFonts w:hint="eastAsia" w:ascii="FangSong_GB2312" w:hAnsi="FangSong_GB2312" w:eastAsia="FangSong_GB2312" w:cs="FangSong_GB2312"/>
          <w:color w:val="000000"/>
          <w:sz w:val="32"/>
          <w:szCs w:val="32"/>
        </w:rPr>
        <w:t>，按照农业农村部、财政部和</w:t>
      </w:r>
      <w:r>
        <w:rPr>
          <w:rFonts w:hint="eastAsia" w:ascii="FangSong_GB2312" w:hAnsi="FangSong_GB2312" w:eastAsia="FangSong_GB2312" w:cs="FangSong_GB2312"/>
          <w:sz w:val="32"/>
          <w:szCs w:val="32"/>
        </w:rPr>
        <w:t>市委、市政府</w:t>
      </w:r>
      <w:r>
        <w:rPr>
          <w:rFonts w:hint="eastAsia" w:ascii="FangSong_GB2312" w:hAnsi="FangSong_GB2312" w:eastAsia="FangSong_GB2312" w:cs="FangSong_GB2312"/>
          <w:color w:val="000000"/>
          <w:sz w:val="32"/>
          <w:szCs w:val="32"/>
        </w:rPr>
        <w:t>有关要求，以满足广大农民对机械化生产的需要为目标，以稳定实施政策、最大限度发挥政策效益为主线，落实构建新发展格局要求，破除制约要素合理流动的堵点，进一步畅通农业机械化发展各个环节，支持引导农民购置使用先进适用的农业机械，引领推动农业机械化向全程全面高质高效转型升级，全力保障粮食和主要农产品生产机械化需求，加快提升农业机械化产业链现代化水平，为实施乡村振兴战略、推进农业农村现代化提供坚实支撑。</w:t>
      </w:r>
    </w:p>
    <w:p>
      <w:pPr>
        <w:pStyle w:val="3"/>
        <w:widowControl w:val="0"/>
        <w:snapToGrid w:val="0"/>
        <w:spacing w:before="0" w:beforeAutospacing="0" w:after="0" w:afterAutospacing="0" w:line="560" w:lineRule="exact"/>
        <w:ind w:firstLine="640" w:firstLineChars="200"/>
        <w:jc w:val="both"/>
        <w:rPr>
          <w:rFonts w:ascii="黑体" w:hAnsi="黑体" w:eastAsia="黑体" w:cs="FangSong_GB2312"/>
          <w:color w:val="000000"/>
          <w:sz w:val="32"/>
          <w:szCs w:val="32"/>
        </w:rPr>
      </w:pPr>
      <w:r>
        <w:rPr>
          <w:rFonts w:hint="eastAsia" w:ascii="黑体" w:hAnsi="黑体" w:eastAsia="黑体" w:cs="FangSong_GB2312"/>
          <w:color w:val="000000"/>
          <w:sz w:val="32"/>
          <w:szCs w:val="32"/>
        </w:rPr>
        <w:t>二、实施重点</w:t>
      </w:r>
    </w:p>
    <w:p>
      <w:pPr>
        <w:pStyle w:val="3"/>
        <w:widowControl w:val="0"/>
        <w:snapToGrid w:val="0"/>
        <w:spacing w:before="0" w:beforeAutospacing="0" w:after="0" w:afterAutospacing="0" w:line="560" w:lineRule="exact"/>
        <w:ind w:firstLine="640" w:firstLineChars="200"/>
        <w:jc w:val="both"/>
        <w:rPr>
          <w:rFonts w:ascii="仿宋" w:hAnsi="仿宋" w:eastAsia="仿宋" w:cs="FangSong_GB2312"/>
          <w:color w:val="000000"/>
          <w:sz w:val="32"/>
          <w:szCs w:val="32"/>
        </w:rPr>
      </w:pPr>
      <w:r>
        <w:rPr>
          <w:rFonts w:hint="eastAsia" w:ascii="KaiTi_GB2312" w:hAnsi="KaiTi_GB2312" w:eastAsia="KaiTi_GB2312" w:cs="KaiTi_GB2312"/>
          <w:color w:val="000000"/>
          <w:sz w:val="32"/>
          <w:szCs w:val="32"/>
        </w:rPr>
        <w:t>（一）突出稳产保供机具供给。</w:t>
      </w:r>
      <w:r>
        <w:rPr>
          <w:rFonts w:hint="eastAsia" w:ascii="FangSong_GB2312" w:hAnsi="FangSong_GB2312" w:eastAsia="FangSong_GB2312" w:cs="FangSong_GB2312"/>
          <w:color w:val="000000"/>
          <w:sz w:val="32"/>
          <w:szCs w:val="32"/>
        </w:rPr>
        <w:t>优先保障粮食、生猪等重要农畜产品生产所需机具，应补尽补，大力发展玉米籽粒收获机、粮食烘干机、秸秆处理机械等粮食生产薄弱环节机具。实施种子、烘干、标准化猪舍、畜禽养殖、粪污资源化利用等方面成套设施装备补贴试点，加快推广应用步伐。</w:t>
      </w:r>
    </w:p>
    <w:p>
      <w:pPr>
        <w:pStyle w:val="3"/>
        <w:widowControl w:val="0"/>
        <w:snapToGrid w:val="0"/>
        <w:spacing w:before="0" w:beforeAutospacing="0" w:after="0" w:afterAutospacing="0" w:line="560" w:lineRule="exact"/>
        <w:ind w:firstLine="640" w:firstLineChars="200"/>
        <w:jc w:val="both"/>
        <w:rPr>
          <w:rFonts w:ascii="FangSong_GB2312" w:hAnsi="FangSong_GB2312" w:eastAsia="FangSong_GB2312" w:cs="FangSong_GB2312"/>
          <w:color w:val="000000"/>
          <w:sz w:val="32"/>
          <w:szCs w:val="32"/>
        </w:rPr>
      </w:pPr>
      <w:r>
        <w:rPr>
          <w:rFonts w:hint="eastAsia" w:ascii="KaiTi_GB2312" w:hAnsi="KaiTi_GB2312" w:eastAsia="KaiTi_GB2312" w:cs="KaiTi_GB2312"/>
          <w:color w:val="000000"/>
          <w:sz w:val="32"/>
          <w:szCs w:val="32"/>
        </w:rPr>
        <w:t>（二）突出农机科技自主创新。</w:t>
      </w:r>
      <w:r>
        <w:rPr>
          <w:rFonts w:hint="eastAsia" w:ascii="FangSong_GB2312" w:hAnsi="FangSong_GB2312" w:eastAsia="FangSong_GB2312" w:cs="FangSong_GB2312"/>
          <w:color w:val="000000"/>
          <w:sz w:val="32"/>
          <w:szCs w:val="32"/>
        </w:rPr>
        <w:t>推广使用智能终端和应用智能作业模式，深化北斗系统在农业生产中的推广应用，确保农业生产数据安全；大力开展农机专项鉴定，加快农机创新产品取得补贴资质条件步伐，尽快列入补贴范围；对暂时无法开展农机鉴定的高端智能自主创新农机产品开辟绿色通道，通过农机新产品购置补贴试点予以支持。</w:t>
      </w:r>
    </w:p>
    <w:p>
      <w:pPr>
        <w:pStyle w:val="3"/>
        <w:widowControl w:val="0"/>
        <w:snapToGrid w:val="0"/>
        <w:spacing w:before="0" w:beforeAutospacing="0" w:after="0" w:afterAutospacing="0" w:line="560" w:lineRule="exact"/>
        <w:ind w:firstLine="640" w:firstLineChars="200"/>
        <w:jc w:val="both"/>
        <w:rPr>
          <w:rFonts w:ascii="FangSong_GB2312" w:hAnsi="FangSong_GB2312" w:eastAsia="FangSong_GB2312" w:cs="FangSong_GB2312"/>
          <w:sz w:val="32"/>
          <w:szCs w:val="32"/>
        </w:rPr>
      </w:pPr>
      <w:r>
        <w:rPr>
          <w:rFonts w:hint="eastAsia" w:ascii="KaiTi_GB2312" w:hAnsi="KaiTi_GB2312" w:eastAsia="KaiTi_GB2312" w:cs="KaiTi_GB2312"/>
          <w:color w:val="000000"/>
          <w:sz w:val="32"/>
          <w:szCs w:val="32"/>
        </w:rPr>
        <w:t>（三）突出绿色高效特色导向。</w:t>
      </w:r>
      <w:r>
        <w:rPr>
          <w:rFonts w:hint="eastAsia" w:ascii="FangSong_GB2312" w:hAnsi="FangSong_GB2312" w:eastAsia="FangSong_GB2312" w:cs="FangSong_GB2312"/>
          <w:color w:val="000000"/>
          <w:sz w:val="32"/>
          <w:szCs w:val="32"/>
        </w:rPr>
        <w:t>加快节能环保、精准高效、大型复式农机具技术推广，加大数字化、智能化和丘陵山区特色产业发展产品的支持力度。逐步降低我市保有量过多、技术相对落后的轮式拖拉机等机具品目的补贴额。</w:t>
      </w:r>
      <w:r>
        <w:rPr>
          <w:rFonts w:hint="eastAsia" w:ascii="FangSong_GB2312" w:hAnsi="FangSong_GB2312" w:eastAsia="FangSong_GB2312" w:cs="FangSong_GB2312"/>
          <w:sz w:val="32"/>
          <w:szCs w:val="32"/>
        </w:rPr>
        <w:t>2021年，先行将30马力（不含）以下轮式拖拉机和补贴额低于1000元（不含）的低价值的机具退出补贴范围。</w:t>
      </w:r>
    </w:p>
    <w:p>
      <w:pPr>
        <w:pStyle w:val="3"/>
        <w:widowControl w:val="0"/>
        <w:snapToGrid w:val="0"/>
        <w:spacing w:before="0" w:beforeAutospacing="0" w:after="0" w:afterAutospacing="0" w:line="560" w:lineRule="exact"/>
        <w:ind w:firstLine="640" w:firstLineChars="200"/>
        <w:jc w:val="both"/>
        <w:rPr>
          <w:rFonts w:ascii="FangSong_GB2312" w:hAnsi="FangSong_GB2312" w:eastAsia="FangSong_GB2312" w:cs="FangSong_GB2312"/>
          <w:color w:val="000000"/>
          <w:sz w:val="32"/>
          <w:szCs w:val="32"/>
        </w:rPr>
      </w:pPr>
      <w:r>
        <w:rPr>
          <w:rFonts w:hint="eastAsia" w:ascii="KaiTi_GB2312" w:hAnsi="KaiTi_GB2312" w:eastAsia="KaiTi_GB2312" w:cs="KaiTi_GB2312"/>
          <w:color w:val="000000"/>
          <w:sz w:val="32"/>
          <w:szCs w:val="32"/>
        </w:rPr>
        <w:t>（四）突出监督服务效能提升。</w:t>
      </w:r>
      <w:r>
        <w:rPr>
          <w:rFonts w:hint="eastAsia" w:ascii="FangSong_GB2312" w:hAnsi="FangSong_GB2312" w:eastAsia="FangSong_GB2312" w:cs="FangSong_GB2312"/>
          <w:color w:val="000000"/>
          <w:sz w:val="32"/>
          <w:szCs w:val="32"/>
        </w:rPr>
        <w:t>推广应用手机App、人脸识别、补贴机具二维码管理和物联网监控等技术，加快推进补贴全流程线上办理，优化办理流程，缩短机具核验办理时限，加快补贴资金兑付，保障农民和企业合法权益。充分发挥专业机构技术优势和大数据信息优势，提升违规行为排查和监控能力。对套取、骗取补贴资金的产销企业实行罚款处理，从严整治违规行为。</w:t>
      </w:r>
    </w:p>
    <w:p>
      <w:pPr>
        <w:snapToGrid w:val="0"/>
        <w:spacing w:line="56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三、补贴范围和补贴机具</w:t>
      </w:r>
    </w:p>
    <w:p>
      <w:pPr>
        <w:snapToGrid w:val="0"/>
        <w:spacing w:line="560" w:lineRule="exact"/>
        <w:ind w:firstLine="640"/>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根据全国和山东省的农机购置补贴机具种类范围，结合我市农业生产实际需求，确定我市的农机购置补贴机具种类范围为15大类42个小类131个品目（详见附件1）</w:t>
      </w:r>
    </w:p>
    <w:p>
      <w:pPr>
        <w:snapToGrid w:val="0"/>
        <w:spacing w:line="560" w:lineRule="exact"/>
        <w:ind w:firstLine="640"/>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在我市办理补贴申请的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bCs/>
          <w:color w:val="000000"/>
          <w:sz w:val="32"/>
          <w:szCs w:val="32"/>
        </w:rPr>
      </w:pPr>
      <w:r>
        <w:rPr>
          <w:rFonts w:hint="eastAsia" w:ascii="FangSong_GB2312" w:hAnsi="FangSong_GB2312" w:eastAsia="FangSong_GB2312" w:cs="FangSong_GB2312"/>
          <w:bCs/>
          <w:color w:val="000000"/>
          <w:sz w:val="32"/>
          <w:szCs w:val="32"/>
        </w:rPr>
        <w:t>全面开展植保无人驾驶航空器购置补贴工作，具体操作办法另行通知，在此之前，继续按有关规定实施引导植保无人飞机规范应用试点。</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bCs/>
          <w:color w:val="000000"/>
          <w:sz w:val="32"/>
          <w:szCs w:val="32"/>
        </w:rPr>
      </w:pPr>
      <w:r>
        <w:rPr>
          <w:rFonts w:hint="eastAsia" w:ascii="FangSong_GB2312" w:hAnsi="FangSong_GB2312" w:eastAsia="FangSong_GB2312" w:cs="FangSong_GB2312"/>
          <w:bCs/>
          <w:color w:val="000000"/>
          <w:sz w:val="32"/>
          <w:szCs w:val="32"/>
        </w:rPr>
        <w:t>按照《农机专项鉴定产品购置补贴实施工作规范（试行）》要求，积极开展补贴产品选定、机具分档和补贴额测算，加快农机创新产品列入补贴范围步伐。补贴实施方案另行公布。</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bCs/>
          <w:color w:val="000000"/>
          <w:sz w:val="32"/>
          <w:szCs w:val="32"/>
        </w:rPr>
      </w:pPr>
      <w:r>
        <w:rPr>
          <w:rFonts w:hint="eastAsia" w:ascii="FangSong_GB2312" w:hAnsi="FangSong_GB2312" w:eastAsia="FangSong_GB2312" w:cs="FangSong_GB2312"/>
          <w:bCs/>
          <w:color w:val="000000"/>
          <w:sz w:val="32"/>
          <w:szCs w:val="32"/>
        </w:rPr>
        <w:t>继续实施农机新产品购置补贴试点，对尚不能通过农机专项鉴定取得补贴资质的创新产品和不适宜鉴定的成套设施装备等予以支持，补贴试点方案另行公布。</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农机报废更新补贴继续按《青岛市农业农村局、青岛市财政局关于印发&lt;青岛市农业机械报废更新补贴政策实施方案&gt;的通知》(青农字〔2020〕37号)执行。</w:t>
      </w:r>
    </w:p>
    <w:p>
      <w:pPr>
        <w:snapToGrid w:val="0"/>
        <w:spacing w:line="560" w:lineRule="exact"/>
        <w:ind w:firstLine="640"/>
        <w:rPr>
          <w:rFonts w:ascii="黑体" w:hAnsi="黑体" w:eastAsia="黑体" w:cs="黑体"/>
          <w:color w:val="000000"/>
          <w:sz w:val="32"/>
          <w:szCs w:val="32"/>
        </w:rPr>
      </w:pPr>
      <w:r>
        <w:rPr>
          <w:rFonts w:hint="eastAsia" w:ascii="黑体" w:hAnsi="黑体" w:eastAsia="黑体" w:cs="黑体"/>
          <w:color w:val="000000"/>
          <w:sz w:val="32"/>
          <w:szCs w:val="32"/>
        </w:rPr>
        <w:t>四、补贴对象和补贴标准</w:t>
      </w:r>
      <w:r>
        <w:rPr>
          <w:rFonts w:hint="eastAsia" w:ascii="MS Mincho" w:hAnsi="MS Mincho" w:eastAsia="MS Mincho" w:cs="MS Mincho"/>
          <w:color w:val="000000"/>
          <w:sz w:val="32"/>
          <w:szCs w:val="32"/>
        </w:rPr>
        <w:t> </w:t>
      </w:r>
    </w:p>
    <w:p>
      <w:pPr>
        <w:pStyle w:val="3"/>
        <w:widowControl w:val="0"/>
        <w:snapToGrid w:val="0"/>
        <w:spacing w:before="0" w:beforeAutospacing="0" w:after="0" w:afterAutospacing="0" w:line="560" w:lineRule="exact"/>
        <w:ind w:firstLine="665"/>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spacing w:line="560" w:lineRule="exact"/>
        <w:ind w:firstLine="645"/>
        <w:rPr>
          <w:rFonts w:eastAsia="FangSong_GB2312"/>
          <w:sz w:val="32"/>
          <w:szCs w:val="32"/>
        </w:rPr>
      </w:pPr>
      <w:r>
        <w:rPr>
          <w:rFonts w:hint="eastAsia" w:ascii="FangSong_GB2312" w:hAnsi="FangSong_GB2312" w:eastAsia="FangSong_GB2312" w:cs="FangSong_GB2312"/>
          <w:color w:val="000000"/>
          <w:sz w:val="32"/>
          <w:szCs w:val="32"/>
        </w:rPr>
        <w:t>农机购置补贴实行定额补贴</w:t>
      </w:r>
      <w:r>
        <w:rPr>
          <w:rFonts w:hint="eastAsia" w:eastAsia="FangSong_GB2312"/>
          <w:sz w:val="32"/>
          <w:szCs w:val="32"/>
        </w:rPr>
        <w:t>（补贴额一览表另发）。补贴标准原则上与山东省一致。在我市补贴范围内：与山东省补贴范围内相同品目档次的补贴产品，按山东省确定的补贴额执行；其它品目档次的补贴产品及农机专项鉴定产品和农机新产品的补贴额，由市农业农村局按照现行农机购置补贴政策相关规定测算确定。一般补贴机具单机补贴限额原则上不超过</w:t>
      </w:r>
      <w:r>
        <w:rPr>
          <w:rFonts w:eastAsia="FangSong_GB2312"/>
          <w:sz w:val="32"/>
          <w:szCs w:val="32"/>
        </w:rPr>
        <w:t>5</w:t>
      </w:r>
      <w:r>
        <w:rPr>
          <w:rFonts w:hint="eastAsia" w:eastAsia="FangSong_GB2312"/>
          <w:sz w:val="32"/>
          <w:szCs w:val="32"/>
        </w:rPr>
        <w:t>万元；挤奶机械、烘干机单机补贴限额不超过</w:t>
      </w:r>
      <w:r>
        <w:rPr>
          <w:rFonts w:eastAsia="FangSong_GB2312"/>
          <w:sz w:val="32"/>
          <w:szCs w:val="32"/>
        </w:rPr>
        <w:t>12</w:t>
      </w:r>
      <w:r>
        <w:rPr>
          <w:rFonts w:hint="eastAsia" w:eastAsia="FangSong_GB2312"/>
          <w:sz w:val="32"/>
          <w:szCs w:val="32"/>
        </w:rPr>
        <w:t>万元；</w:t>
      </w:r>
      <w:r>
        <w:rPr>
          <w:rFonts w:eastAsia="FangSong_GB2312"/>
          <w:sz w:val="32"/>
          <w:szCs w:val="32"/>
        </w:rPr>
        <w:t>100</w:t>
      </w:r>
      <w:r>
        <w:rPr>
          <w:rFonts w:hint="eastAsia" w:eastAsia="FangSong_GB2312"/>
          <w:sz w:val="32"/>
          <w:szCs w:val="32"/>
        </w:rPr>
        <w:t>马力以上拖拉机、高性能青饲料收获机、大型免耕播种机、大型联合收割机、畜禽粪污资源化利用机具单机补贴限额不超过</w:t>
      </w:r>
      <w:r>
        <w:rPr>
          <w:rFonts w:eastAsia="FangSong_GB2312"/>
          <w:sz w:val="32"/>
          <w:szCs w:val="32"/>
        </w:rPr>
        <w:t>15</w:t>
      </w:r>
      <w:r>
        <w:rPr>
          <w:rFonts w:hint="eastAsia" w:eastAsia="FangSong_GB2312"/>
          <w:sz w:val="32"/>
          <w:szCs w:val="32"/>
        </w:rPr>
        <w:t>万元；</w:t>
      </w:r>
      <w:r>
        <w:rPr>
          <w:rFonts w:eastAsia="FangSong_GB2312"/>
          <w:sz w:val="32"/>
          <w:szCs w:val="32"/>
        </w:rPr>
        <w:t>200</w:t>
      </w:r>
      <w:r>
        <w:rPr>
          <w:rFonts w:hint="eastAsia" w:eastAsia="FangSong_GB2312"/>
          <w:sz w:val="32"/>
          <w:szCs w:val="32"/>
        </w:rPr>
        <w:t>马力以上拖拉机单机补贴限额不超过</w:t>
      </w:r>
      <w:r>
        <w:rPr>
          <w:rFonts w:eastAsia="FangSong_GB2312"/>
          <w:sz w:val="32"/>
          <w:szCs w:val="32"/>
        </w:rPr>
        <w:t>25</w:t>
      </w:r>
      <w:r>
        <w:rPr>
          <w:rFonts w:hint="eastAsia" w:eastAsia="FangSong_GB2312"/>
          <w:sz w:val="32"/>
          <w:szCs w:val="32"/>
        </w:rPr>
        <w:t>万元；大型棉花收获机单机、成套设施装备单套补贴限额不超过</w:t>
      </w:r>
      <w:r>
        <w:rPr>
          <w:rFonts w:eastAsia="FangSong_GB2312"/>
          <w:sz w:val="32"/>
          <w:szCs w:val="32"/>
        </w:rPr>
        <w:t>60</w:t>
      </w:r>
      <w:r>
        <w:rPr>
          <w:rFonts w:hint="eastAsia" w:eastAsia="FangSong_GB2312"/>
          <w:sz w:val="32"/>
          <w:szCs w:val="32"/>
        </w:rPr>
        <w:t>万元。个人和农业生产经营组织年度享受农机购置补贴最高限额分别为</w:t>
      </w:r>
      <w:r>
        <w:rPr>
          <w:rFonts w:eastAsia="FangSong_GB2312"/>
          <w:sz w:val="32"/>
          <w:szCs w:val="32"/>
        </w:rPr>
        <w:t>50</w:t>
      </w:r>
      <w:r>
        <w:rPr>
          <w:rFonts w:hint="eastAsia" w:eastAsia="FangSong_GB2312"/>
          <w:sz w:val="32"/>
          <w:szCs w:val="32"/>
        </w:rPr>
        <w:t>万元和</w:t>
      </w:r>
      <w:r>
        <w:rPr>
          <w:rFonts w:eastAsia="FangSong_GB2312"/>
          <w:sz w:val="32"/>
          <w:szCs w:val="32"/>
        </w:rPr>
        <w:t>200</w:t>
      </w:r>
      <w:r>
        <w:rPr>
          <w:rFonts w:hint="eastAsia" w:eastAsia="FangSong_GB2312"/>
          <w:sz w:val="32"/>
          <w:szCs w:val="32"/>
        </w:rPr>
        <w:t>万元。</w:t>
      </w:r>
    </w:p>
    <w:p>
      <w:pPr>
        <w:pStyle w:val="3"/>
        <w:widowControl w:val="0"/>
        <w:snapToGrid w:val="0"/>
        <w:spacing w:before="0" w:beforeAutospacing="0" w:after="0" w:afterAutospacing="0" w:line="560" w:lineRule="exact"/>
        <w:ind w:firstLine="665"/>
        <w:jc w:val="both"/>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2021年起，逐步降低区域内保有量明显过多、技术相对落后的轮式拖拉机等机具品目或档次的补贴标准，到2023年将其补贴额测算比例降低至15%及以下。</w:t>
      </w:r>
    </w:p>
    <w:p>
      <w:pPr>
        <w:pStyle w:val="3"/>
        <w:widowControl w:val="0"/>
        <w:snapToGrid w:val="0"/>
        <w:spacing w:before="0" w:beforeAutospacing="0" w:after="0" w:afterAutospacing="0" w:line="560" w:lineRule="exact"/>
        <w:ind w:firstLine="665"/>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全面公开农机购置补贴机具补贴额一栏表，加强宣传，引导购机者根据各档次的补贴定额自主议价，不再对外公布具体产品的补贴额。在政策实施过程中发现具体产品或档次的中央财政资金实际补贴比例超过50%的，应及时组织调查，对有违规情节的，按相关规定处理；对无违规情节的补贴申请，可按原规定兑付补贴资金，并组织对相关产品及其所属档次补贴额进行评估，视情况及时调整。</w:t>
      </w:r>
    </w:p>
    <w:p>
      <w:pPr>
        <w:pStyle w:val="3"/>
        <w:widowControl w:val="0"/>
        <w:snapToGrid w:val="0"/>
        <w:spacing w:before="0" w:beforeAutospacing="0" w:after="0" w:afterAutospacing="0" w:line="560" w:lineRule="exact"/>
        <w:ind w:firstLine="665"/>
        <w:jc w:val="both"/>
        <w:rPr>
          <w:rFonts w:ascii="FangSong_GB2312" w:hAnsi="FangSong_GB2312" w:eastAsia="FangSong_GB2312" w:cs="FangSong_GB2312"/>
          <w:color w:val="000000"/>
          <w:sz w:val="32"/>
          <w:szCs w:val="32"/>
        </w:rPr>
      </w:pPr>
      <w:r>
        <w:rPr>
          <w:rFonts w:hint="eastAsia" w:ascii="黑体" w:hAnsi="黑体" w:eastAsia="黑体" w:cs="黑体"/>
          <w:color w:val="000000"/>
          <w:sz w:val="32"/>
          <w:szCs w:val="32"/>
        </w:rPr>
        <w:t>五、资金分配与使用</w:t>
      </w:r>
      <w:r>
        <w:rPr>
          <w:rFonts w:hint="eastAsia" w:ascii="MS Mincho" w:hAnsi="MS Mincho" w:eastAsia="MS Mincho" w:cs="MS Mincho"/>
          <w:color w:val="000000"/>
          <w:sz w:val="32"/>
          <w:szCs w:val="32"/>
        </w:rPr>
        <w:t> </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农机购置补贴主要用于支持购置先进适用农业机械，以及开展有关试点和农机报废更新等方面。市农业农村部门会同财政部门采用因素法（包括基础性因素、政策性因素、绩效因素、巩固拓展脱贫攻坚成果因素等）测算分配资金，资金分配原则上不突破区、市提报的需求上限。</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各级财政部门要会同农业农村部门加强资金监管，定期调度和发布资金使用进度，实行区市之间资金余缺动态调剂，避免出现资金大量结转。上年结转资金可继续在下年使用，连续两年未用完的，按有关规定处理。</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农机购置补贴属约束性任务，资金必须足额保障，不得用于其他任务支出。各级财政部门要保障补贴工作实施必要的组织管理经费。</w:t>
      </w:r>
    </w:p>
    <w:p>
      <w:pPr>
        <w:pStyle w:val="3"/>
        <w:widowControl w:val="0"/>
        <w:snapToGrid w:val="0"/>
        <w:spacing w:before="0" w:beforeAutospacing="0" w:after="0" w:afterAutospacing="0" w:line="560" w:lineRule="exact"/>
        <w:ind w:firstLine="640" w:firstLineChars="200"/>
        <w:jc w:val="both"/>
        <w:rPr>
          <w:rFonts w:ascii="FangSong_GB2312" w:hAnsi="FangSong_GB2312" w:eastAsia="FangSong_GB2312" w:cs="FangSong_GB2312"/>
          <w:color w:val="000000"/>
          <w:sz w:val="32"/>
          <w:szCs w:val="32"/>
        </w:rPr>
      </w:pPr>
      <w:r>
        <w:rPr>
          <w:rFonts w:hint="eastAsia" w:ascii="黑体" w:hAnsi="黑体" w:eastAsia="黑体" w:cs="黑体"/>
          <w:color w:val="000000"/>
          <w:sz w:val="32"/>
          <w:szCs w:val="32"/>
        </w:rPr>
        <w:t>六、操作流程</w:t>
      </w:r>
      <w:r>
        <w:rPr>
          <w:rFonts w:hint="eastAsia" w:ascii="MS Mincho" w:hAnsi="MS Mincho" w:eastAsia="MS Mincho" w:cs="MS Mincho"/>
          <w:color w:val="000000"/>
          <w:sz w:val="32"/>
          <w:szCs w:val="32"/>
        </w:rPr>
        <w:t> </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当地农业农村部门提出补贴资金申领事项，签署告知承诺书，承诺购买行为、发票购机价格等信息真实有效，按相关规定申办补贴。</w:t>
      </w:r>
      <w:r>
        <w:rPr>
          <w:rFonts w:hint="eastAsia" w:ascii="MS Mincho" w:hAnsi="MS Mincho" w:eastAsia="MS Mincho" w:cs="MS Mincho"/>
          <w:color w:val="000000"/>
          <w:sz w:val="32"/>
          <w:szCs w:val="32"/>
        </w:rPr>
        <w:t> </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农机购置补贴政策实施工作按以下流程操作。</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KaiTi_GB2312" w:hAnsi="KaiTi_GB2312" w:eastAsia="KaiTi_GB2312" w:cs="KaiTi_GB2312"/>
          <w:color w:val="000000"/>
          <w:sz w:val="32"/>
          <w:szCs w:val="32"/>
        </w:rPr>
        <w:t>（一）发布实施规定。</w:t>
      </w:r>
      <w:r>
        <w:rPr>
          <w:rFonts w:hint="eastAsia" w:ascii="FangSong_GB2312" w:hAnsi="FangSong_GB2312" w:eastAsia="FangSong_GB2312" w:cs="FangSong_GB2312"/>
          <w:color w:val="000000"/>
          <w:sz w:val="32"/>
          <w:szCs w:val="32"/>
        </w:rPr>
        <w:t>市和区（市）两级农业农村、财政部门按职责分工和有关规定发布本地区农机购置补贴实施方案、补贴额一览表、补贴机具信息表、咨询投诉举报电话等信息。</w:t>
      </w:r>
    </w:p>
    <w:p>
      <w:pPr>
        <w:pStyle w:val="3"/>
        <w:widowControl w:val="0"/>
        <w:snapToGrid w:val="0"/>
        <w:spacing w:before="0" w:beforeAutospacing="0" w:after="0" w:afterAutospacing="0" w:line="560" w:lineRule="exact"/>
        <w:ind w:firstLine="640" w:firstLineChars="200"/>
        <w:jc w:val="both"/>
        <w:rPr>
          <w:rFonts w:ascii="FangSong_GB2312" w:hAnsi="FangSong_GB2312" w:eastAsia="FangSong_GB2312" w:cs="FangSong_GB2312"/>
          <w:color w:val="000000"/>
          <w:sz w:val="32"/>
          <w:szCs w:val="32"/>
        </w:rPr>
      </w:pPr>
      <w:r>
        <w:rPr>
          <w:rFonts w:hint="eastAsia" w:ascii="KaiTi_GB2312" w:hAnsi="KaiTi_GB2312" w:eastAsia="KaiTi_GB2312" w:cs="KaiTi_GB2312"/>
          <w:color w:val="000000"/>
          <w:sz w:val="32"/>
          <w:szCs w:val="32"/>
        </w:rPr>
        <w:t>（二）组织机具投档。</w:t>
      </w:r>
      <w:r>
        <w:rPr>
          <w:rFonts w:hint="eastAsia" w:ascii="FangSong_GB2312" w:hAnsi="FangSong_GB2312" w:eastAsia="FangSong_GB2312" w:cs="FangSong_GB2312"/>
          <w:color w:val="000000"/>
          <w:sz w:val="32"/>
          <w:szCs w:val="32"/>
        </w:rPr>
        <w:t>市农业农村局按照《农机购置补贴机具投档工作规范（试行）》等要求，全面运用农机购置补贴机具自主投档平台，常年受理企业投档，组织开展形式审核，公示公布投档结果，并导入办理服务系统。生产企业对投档产品信息的真实性负责，并对因投档产品信息不实、虚假等造成的损失或纠纷承担相应法律责任。</w:t>
      </w:r>
    </w:p>
    <w:p>
      <w:pPr>
        <w:pStyle w:val="3"/>
        <w:widowControl w:val="0"/>
        <w:snapToGrid w:val="0"/>
        <w:spacing w:before="0" w:beforeAutospacing="0" w:after="0" w:afterAutospacing="0" w:line="560" w:lineRule="exact"/>
        <w:ind w:firstLine="640" w:firstLineChars="20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我市与山东省实行一体化投档，在山东省的投档结果我市直接采信，生产企业无需在我市重复投档；没在山东省投档的，由我市农业农村局受理。</w:t>
      </w:r>
    </w:p>
    <w:p>
      <w:pPr>
        <w:pStyle w:val="3"/>
        <w:widowControl w:val="0"/>
        <w:snapToGrid w:val="0"/>
        <w:spacing w:before="0" w:beforeAutospacing="0" w:after="0" w:afterAutospacing="0" w:line="560" w:lineRule="exact"/>
        <w:ind w:firstLine="640" w:firstLineChars="200"/>
        <w:jc w:val="both"/>
        <w:rPr>
          <w:rFonts w:ascii="FangSong_GB2312" w:hAnsi="FangSong_GB2312" w:eastAsia="FangSong_GB2312" w:cs="FangSong_GB2312"/>
          <w:color w:val="000000"/>
          <w:sz w:val="32"/>
          <w:szCs w:val="32"/>
        </w:rPr>
      </w:pPr>
      <w:r>
        <w:rPr>
          <w:rFonts w:hint="eastAsia" w:ascii="KaiTi_GB2312" w:hAnsi="KaiTi_GB2312" w:eastAsia="KaiTi_GB2312" w:cs="KaiTi_GB2312"/>
          <w:color w:val="000000"/>
          <w:sz w:val="32"/>
          <w:szCs w:val="32"/>
        </w:rPr>
        <w:t>（三）受理补贴申请。</w:t>
      </w:r>
      <w:r>
        <w:rPr>
          <w:rFonts w:hint="eastAsia" w:ascii="FangSong_GB2312" w:hAnsi="FangSong_GB2312" w:eastAsia="FangSong_GB2312" w:cs="FangSong_GB2312"/>
          <w:color w:val="000000"/>
          <w:sz w:val="32"/>
          <w:szCs w:val="32"/>
        </w:rPr>
        <w:t>全面实行农机购置补贴申请办理服务系统常年连续开放，推广使用带有人脸识别功能的手机App等信息化技术，方便购机者随时在线提交补贴申请、应录尽录，加快实现购机者线下申领补贴“最多跑一次”“最多跑一地”。区（市）农机购置补贴资金申请数量达到当年可用资金（含结转资金和调剂资金）总量110%时，相关区（市）应及时发布公告，停止受理补贴申请。</w:t>
      </w:r>
    </w:p>
    <w:p>
      <w:pPr>
        <w:pStyle w:val="3"/>
        <w:widowControl w:val="0"/>
        <w:snapToGrid w:val="0"/>
        <w:spacing w:before="0" w:beforeAutospacing="0" w:after="0" w:afterAutospacing="0" w:line="560" w:lineRule="exact"/>
        <w:ind w:firstLine="640" w:firstLineChars="200"/>
        <w:jc w:val="both"/>
        <w:rPr>
          <w:rFonts w:ascii="FangSong_GB2312" w:hAnsi="FangSong_GB2312" w:eastAsia="FangSong_GB2312" w:cs="FangSong_GB2312"/>
          <w:sz w:val="32"/>
          <w:szCs w:val="32"/>
        </w:rPr>
      </w:pPr>
      <w:r>
        <w:rPr>
          <w:rFonts w:hint="eastAsia" w:ascii="FangSong_GB2312" w:hAnsi="FangSong_GB2312" w:eastAsia="FangSong_GB2312" w:cs="FangSong_GB2312"/>
          <w:sz w:val="32"/>
          <w:szCs w:val="32"/>
        </w:rPr>
        <w:t>在去年试点的基础上，继续开展农机购置补贴手机APP、补贴机具二维码系统和物联网平台“三合一”补贴申请办理试点，加快推进补贴机具信息化管理。</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KaiTi_GB2312" w:hAnsi="KaiTi_GB2312" w:eastAsia="KaiTi_GB2312" w:cs="KaiTi_GB2312"/>
          <w:color w:val="000000"/>
          <w:sz w:val="32"/>
          <w:szCs w:val="32"/>
        </w:rPr>
        <w:t>（四）审验公示信息。</w:t>
      </w:r>
      <w:r>
        <w:rPr>
          <w:rFonts w:hint="eastAsia" w:ascii="FangSong_GB2312" w:hAnsi="FangSong_GB2312" w:eastAsia="FangSong_GB2312" w:cs="FangSong_GB2312"/>
          <w:color w:val="000000"/>
          <w:sz w:val="32"/>
          <w:szCs w:val="32"/>
        </w:rPr>
        <w:t>区（市）农业农村部门按照《农机购置补贴机具核验工作要点（试行）》等要求，对补贴相关申请资料进行形式审核，</w:t>
      </w:r>
      <w:r>
        <w:rPr>
          <w:rFonts w:hint="eastAsia" w:ascii="FangSong_GB2312" w:eastAsia="FangSong_GB2312" w:cs="FangSong_GB2312"/>
          <w:sz w:val="32"/>
          <w:szCs w:val="32"/>
        </w:rPr>
        <w:t>对补贴机具进行核验，其中牌证管理机具凭牌证免于现场实物核验</w:t>
      </w:r>
      <w:r>
        <w:rPr>
          <w:rFonts w:hint="eastAsia" w:ascii="FangSong_GB2312" w:hAnsi="FangSong_GB2312" w:eastAsia="FangSong_GB2312" w:cs="FangSong_GB2312"/>
          <w:color w:val="000000"/>
          <w:sz w:val="32"/>
          <w:szCs w:val="32"/>
        </w:rPr>
        <w:t>。农业农村部门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KaiTi_GB2312" w:hAnsi="KaiTi_GB2312" w:eastAsia="KaiTi_GB2312" w:cs="KaiTi_GB2312"/>
          <w:color w:val="000000"/>
          <w:sz w:val="32"/>
          <w:szCs w:val="32"/>
        </w:rPr>
        <w:t>（五）兑付补贴资金。</w:t>
      </w:r>
      <w:r>
        <w:rPr>
          <w:rFonts w:hint="eastAsia" w:ascii="FangSong_GB2312" w:hAnsi="FangSong_GB2312" w:eastAsia="FangSong_GB2312" w:cs="FangSong_GB2312"/>
          <w:color w:val="000000"/>
          <w:sz w:val="32"/>
          <w:szCs w:val="32"/>
        </w:rPr>
        <w:t>区（市）财政部门审核农业农村部门提交的资金兑付申请与有关材料，于15个工作日内通过国库集中支付方式向符合要求的购机者兑付资金。</w:t>
      </w:r>
      <w:r>
        <w:rPr>
          <w:rFonts w:hint="eastAsia" w:ascii="FangSong_GB2312" w:eastAsia="FangSong_GB2312"/>
          <w:sz w:val="32"/>
          <w:szCs w:val="32"/>
        </w:rPr>
        <w:t>对安装类、设施类等补贴机具，可在生产应用一段时间后兑付补贴资金。</w:t>
      </w:r>
      <w:r>
        <w:rPr>
          <w:rFonts w:hint="eastAsia" w:ascii="FangSong_GB2312" w:hAnsi="FangSong_GB2312" w:eastAsia="FangSong_GB2312" w:cs="FangSong_GB2312"/>
          <w:color w:val="000000"/>
          <w:sz w:val="32"/>
          <w:szCs w:val="32"/>
        </w:rPr>
        <w:t>严禁挤占挪用农机购置补贴资金。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pPr>
        <w:pStyle w:val="3"/>
        <w:widowControl w:val="0"/>
        <w:snapToGrid w:val="0"/>
        <w:spacing w:before="0" w:beforeAutospacing="0" w:after="0" w:afterAutospacing="0" w:line="560" w:lineRule="exact"/>
        <w:ind w:firstLine="640" w:firstLineChars="20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补贴政策全面实行跨年度连续实施，除发生违规行为或补贴资金超录外，不得以任何理由限制购机者提交补贴申请，且补贴机具资质、补贴标准和办理程序等均按购机者提交补贴申请并</w:t>
      </w:r>
      <w:r>
        <w:rPr>
          <w:rFonts w:hint="eastAsia" w:ascii="FangSong_GB2312" w:hAnsi="FangSong_GB2312" w:eastAsia="FangSong_GB2312" w:cs="FangSong_GB2312"/>
          <w:sz w:val="32"/>
          <w:szCs w:val="32"/>
        </w:rPr>
        <w:t>录入办理服务</w:t>
      </w:r>
      <w:r>
        <w:rPr>
          <w:rFonts w:hint="eastAsia" w:ascii="FangSong_GB2312" w:hAnsi="FangSong_GB2312" w:eastAsia="FangSong_GB2312" w:cs="FangSong_GB2312"/>
          <w:color w:val="000000"/>
          <w:sz w:val="32"/>
          <w:szCs w:val="32"/>
        </w:rPr>
        <w:t>系统时的相关规定执行，不受政策调整影响，切实稳定购机者补贴申领预期。</w:t>
      </w:r>
    </w:p>
    <w:p>
      <w:pPr>
        <w:pStyle w:val="3"/>
        <w:widowControl w:val="0"/>
        <w:snapToGrid w:val="0"/>
        <w:spacing w:before="0" w:beforeAutospacing="0" w:after="0" w:afterAutospacing="0" w:line="560" w:lineRule="exact"/>
        <w:ind w:firstLine="640" w:firstLineChars="20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做好与上一轮补贴政策的衔接，2020年12月31日前购买并录入我市农机购置补贴辅助管理系统的农机具按录入时的补贴额给予补贴,补贴资金未兑付的可在今年优先兑付。</w:t>
      </w:r>
    </w:p>
    <w:p>
      <w:pPr>
        <w:pStyle w:val="3"/>
        <w:widowControl w:val="0"/>
        <w:snapToGrid w:val="0"/>
        <w:spacing w:before="0" w:beforeAutospacing="0" w:after="0" w:afterAutospacing="0" w:line="560" w:lineRule="exact"/>
        <w:ind w:firstLine="640" w:firstLineChars="200"/>
        <w:jc w:val="both"/>
        <w:rPr>
          <w:rFonts w:ascii="黑体" w:hAnsi="黑体" w:eastAsia="黑体" w:cs="FangSong_GB2312"/>
          <w:color w:val="000000"/>
          <w:sz w:val="32"/>
          <w:szCs w:val="32"/>
        </w:rPr>
      </w:pPr>
      <w:r>
        <w:rPr>
          <w:rFonts w:hint="eastAsia" w:ascii="FangSong_GB2312" w:hAnsi="FangSong_GB2312" w:eastAsia="FangSong_GB2312" w:cs="FangSong_GB2312"/>
          <w:color w:val="000000"/>
          <w:sz w:val="32"/>
          <w:szCs w:val="32"/>
        </w:rPr>
        <w:t>购机者对其购置的补贴机具拥有所有权，自主使用，可依法处置。</w:t>
      </w:r>
    </w:p>
    <w:p>
      <w:pPr>
        <w:pStyle w:val="3"/>
        <w:widowControl w:val="0"/>
        <w:snapToGrid w:val="0"/>
        <w:spacing w:before="0" w:beforeAutospacing="0" w:after="0" w:afterAutospacing="0" w:line="560" w:lineRule="exact"/>
        <w:ind w:firstLine="640" w:firstLineChars="200"/>
        <w:jc w:val="both"/>
        <w:rPr>
          <w:rFonts w:ascii="黑体" w:hAnsi="黑体" w:eastAsia="黑体" w:cs="FangSong_GB2312"/>
          <w:color w:val="000000"/>
          <w:sz w:val="32"/>
          <w:szCs w:val="32"/>
        </w:rPr>
      </w:pPr>
      <w:r>
        <w:rPr>
          <w:rFonts w:hint="eastAsia" w:ascii="黑体" w:hAnsi="黑体" w:eastAsia="黑体" w:cs="FangSong_GB2312"/>
          <w:color w:val="000000"/>
          <w:sz w:val="32"/>
          <w:szCs w:val="32"/>
        </w:rPr>
        <w:t>七、实施要求</w:t>
      </w:r>
    </w:p>
    <w:p>
      <w:pPr>
        <w:pStyle w:val="3"/>
        <w:widowControl w:val="0"/>
        <w:snapToGrid w:val="0"/>
        <w:spacing w:before="0" w:beforeAutospacing="0" w:after="0" w:afterAutospacing="0" w:line="560" w:lineRule="exact"/>
        <w:ind w:firstLine="640" w:firstLineChars="200"/>
        <w:jc w:val="both"/>
        <w:rPr>
          <w:rFonts w:ascii="FangSong_GB2312" w:hAnsi="FangSong_GB2312" w:eastAsia="FangSong_GB2312" w:cs="FangSong_GB2312"/>
          <w:color w:val="000000"/>
          <w:sz w:val="32"/>
          <w:szCs w:val="32"/>
        </w:rPr>
      </w:pPr>
      <w:r>
        <w:rPr>
          <w:rFonts w:hint="eastAsia" w:ascii="楷体" w:hAnsi="楷体" w:eastAsia="楷体" w:cs="楷体"/>
          <w:color w:val="000000"/>
          <w:sz w:val="32"/>
          <w:szCs w:val="32"/>
        </w:rPr>
        <w:t>（一）加强领导，明确责任。</w:t>
      </w:r>
      <w:r>
        <w:rPr>
          <w:rFonts w:hint="eastAsia" w:ascii="FangSong_GB2312" w:hAnsi="FangSong_GB2312" w:eastAsia="FangSong_GB2312" w:cs="FangSong_GB2312"/>
          <w:color w:val="000000"/>
          <w:sz w:val="32"/>
          <w:szCs w:val="32"/>
        </w:rPr>
        <w:t>建立健全</w:t>
      </w:r>
      <w:r>
        <w:rPr>
          <w:rFonts w:hint="eastAsia" w:ascii="FangSong_GB2312" w:hAnsi="仿宋" w:eastAsia="FangSong_GB2312"/>
          <w:sz w:val="32"/>
          <w:szCs w:val="32"/>
        </w:rPr>
        <w:t>县级政府农机购置补贴领导小组工作机制，对补贴实施中遇到的具体问题，要及时研究解决。强化</w:t>
      </w:r>
      <w:r>
        <w:rPr>
          <w:rFonts w:hint="eastAsia" w:ascii="FangSong_GB2312" w:hAnsi="FangSong_GB2312" w:eastAsia="FangSong_GB2312" w:cs="FangSong_GB2312"/>
          <w:color w:val="000000"/>
          <w:sz w:val="32"/>
          <w:szCs w:val="32"/>
        </w:rPr>
        <w:t>政府领导下的</w:t>
      </w:r>
      <w:r>
        <w:rPr>
          <w:rFonts w:hint="eastAsia" w:ascii="FangSong_GB2312" w:hAnsi="仿宋" w:eastAsia="FangSong_GB2312"/>
          <w:sz w:val="32"/>
          <w:szCs w:val="32"/>
        </w:rPr>
        <w:t>农业农村、财政部门</w:t>
      </w:r>
      <w:r>
        <w:rPr>
          <w:rFonts w:hint="eastAsia" w:ascii="FangSong_GB2312" w:hAnsi="FangSong_GB2312" w:eastAsia="FangSong_GB2312" w:cs="FangSong_GB2312"/>
          <w:color w:val="000000"/>
          <w:sz w:val="32"/>
          <w:szCs w:val="32"/>
        </w:rPr>
        <w:t>联合实施和监管机制，完善风险防控工作制度和内部控制规程，</w:t>
      </w:r>
      <w:r>
        <w:rPr>
          <w:rFonts w:hint="eastAsia" w:ascii="FangSong_GB2312" w:hAnsi="仿宋" w:eastAsia="FangSong_GB2312"/>
          <w:sz w:val="32"/>
          <w:szCs w:val="32"/>
        </w:rPr>
        <w:t>进一步提高政策实施效率和效果。</w:t>
      </w:r>
      <w:r>
        <w:rPr>
          <w:rFonts w:hint="eastAsia" w:ascii="FangSong_GB2312" w:hAnsi="FangSong_GB2312" w:eastAsia="FangSong_GB2312" w:cs="FangSong_GB2312"/>
          <w:color w:val="000000"/>
          <w:sz w:val="32"/>
          <w:szCs w:val="32"/>
        </w:rPr>
        <w:t>要组织开展业务培训和廉政警示教育，提高补贴工作人员业务素质和风险防控能力。要进一步明确职责分工，深入落实县级农业农村部门组织实施、审核和监管责任和财政部门资金兑付、资金监管责任。要加强绩效管理，形成管理闭环，切实提升政策实施管理工作能力水平。</w:t>
      </w:r>
    </w:p>
    <w:p>
      <w:pPr>
        <w:pStyle w:val="3"/>
        <w:widowControl w:val="0"/>
        <w:snapToGrid w:val="0"/>
        <w:spacing w:before="0" w:beforeAutospacing="0" w:after="0" w:afterAutospacing="0" w:line="560" w:lineRule="exact"/>
        <w:ind w:firstLine="640" w:firstLineChars="200"/>
        <w:jc w:val="both"/>
        <w:rPr>
          <w:rFonts w:ascii="FangSong_GB2312" w:hAnsi="FangSong_GB2312" w:eastAsia="FangSong_GB2312" w:cs="FangSong_GB2312"/>
          <w:color w:val="000000"/>
          <w:sz w:val="32"/>
          <w:szCs w:val="32"/>
        </w:rPr>
      </w:pPr>
      <w:r>
        <w:rPr>
          <w:rFonts w:hint="eastAsia" w:ascii="楷体" w:hAnsi="楷体" w:eastAsia="楷体" w:cs="楷体"/>
          <w:color w:val="000000"/>
          <w:sz w:val="32"/>
          <w:szCs w:val="32"/>
        </w:rPr>
        <w:t>（二）优化服务，提升效能。</w:t>
      </w:r>
      <w:r>
        <w:rPr>
          <w:rFonts w:hint="eastAsia" w:ascii="FangSong_GB2312" w:hAnsi="FangSong_GB2312" w:eastAsia="FangSong_GB2312" w:cs="FangSong_GB2312"/>
          <w:color w:val="000000"/>
          <w:sz w:val="32"/>
          <w:szCs w:val="32"/>
        </w:rPr>
        <w:t>依托农机购置补贴申请办理服务系统，动态分析基层农业农村和财政部门办理补贴申请具体时限，及时预警和定期通报超时办理行为，督促区（市）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推动补贴机具由人工核验向信息化核验转变。积极探索补贴申请、核验、兑付全流程线上办理新模式，推进农机购置补贴实施与监管信息化技术集成应用。</w:t>
      </w:r>
    </w:p>
    <w:p>
      <w:pPr>
        <w:pStyle w:val="3"/>
        <w:widowControl w:val="0"/>
        <w:snapToGrid w:val="0"/>
        <w:spacing w:before="0" w:beforeAutospacing="0" w:after="0" w:afterAutospacing="0" w:line="560" w:lineRule="exact"/>
        <w:ind w:firstLine="640" w:firstLineChars="200"/>
        <w:rPr>
          <w:rFonts w:ascii="FangSong_GB2312" w:hAnsi="FangSong_GB2312" w:eastAsia="FangSong_GB2312" w:cs="FangSong_GB2312"/>
          <w:color w:val="000000"/>
          <w:sz w:val="32"/>
          <w:szCs w:val="32"/>
        </w:rPr>
      </w:pPr>
      <w:r>
        <w:rPr>
          <w:rFonts w:hint="eastAsia" w:ascii="楷体" w:hAnsi="楷体" w:eastAsia="楷体" w:cs="楷体"/>
          <w:color w:val="000000"/>
          <w:sz w:val="32"/>
          <w:szCs w:val="32"/>
        </w:rPr>
        <w:t>（三）公开信息，接受监督。</w:t>
      </w:r>
      <w:r>
        <w:rPr>
          <w:rFonts w:hint="eastAsia" w:ascii="FangSong_GB2312" w:hAnsi="FangSong_GB2312" w:eastAsia="FangSong_GB2312" w:cs="FangSong_GB2312"/>
          <w:color w:val="000000"/>
          <w:sz w:val="32"/>
          <w:szCs w:val="32"/>
        </w:rPr>
        <w:t>各级农业农村部门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年度公告近三年县域内补贴受益信息，公开违规查处结果等信息，主动接受社会监督。</w:t>
      </w:r>
    </w:p>
    <w:p>
      <w:pPr>
        <w:pStyle w:val="3"/>
        <w:widowControl w:val="0"/>
        <w:snapToGrid w:val="0"/>
        <w:spacing w:before="0" w:beforeAutospacing="0" w:after="0" w:afterAutospacing="0" w:line="560" w:lineRule="exact"/>
        <w:ind w:firstLine="640" w:firstLineChars="200"/>
        <w:rPr>
          <w:rFonts w:ascii="FangSong_GB2312" w:hAnsi="FangSong_GB2312" w:eastAsia="FangSong_GB2312" w:cs="FangSong_GB2312"/>
          <w:color w:val="000000"/>
          <w:sz w:val="32"/>
          <w:szCs w:val="32"/>
        </w:rPr>
      </w:pPr>
      <w:r>
        <w:rPr>
          <w:rFonts w:hint="eastAsia" w:ascii="楷体" w:hAnsi="楷体" w:eastAsia="楷体" w:cs="楷体"/>
          <w:color w:val="000000"/>
          <w:sz w:val="32"/>
          <w:szCs w:val="32"/>
        </w:rPr>
        <w:t>（四）加强监管，严惩违规。</w:t>
      </w:r>
      <w:r>
        <w:rPr>
          <w:rFonts w:hint="eastAsia" w:ascii="FangSong_GB2312" w:hAnsi="FangSong_GB2312" w:eastAsia="FangSong_GB2312" w:cs="FangSong_GB2312"/>
          <w:color w:val="000000"/>
          <w:sz w:val="32"/>
          <w:szCs w:val="32"/>
        </w:rPr>
        <w:t>全面贯彻《农业农村部办公厅、财政部办公厅关于进一步加强农机购置补贴政策监管强化纪律约束的通知》（农办机〔2019〕6号）和《农业部办公厅、财政部办公厅关于印发〈农业机械购置补贴产品违规经营行为处理办法（试行）〉的通知》（农办财〔2017〕26号）和本通知要求，认真落实风险防控责任和异常情形主动报告制度，严格信用管理和农机产销企业承诺制，充分发挥专业机构的技术优势和大数据的信息优势，有效开展违规行为全流程分析排查，强化农财两部门联合查处和省域内联动处理，从严整治突出违规行为，有效维护政策实施良好秩序。</w:t>
      </w:r>
    </w:p>
    <w:p>
      <w:pPr>
        <w:pStyle w:val="3"/>
        <w:widowControl w:val="0"/>
        <w:snapToGrid w:val="0"/>
        <w:spacing w:before="0" w:beforeAutospacing="0" w:after="0" w:afterAutospacing="0" w:line="560" w:lineRule="exact"/>
        <w:ind w:firstLine="640" w:firstLineChars="200"/>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各区（市）农业农村、财政部门要根据本实施方案，结合实际制定印发本区（市）的2021—2023年实施方案，并抄报市农业农村局、市财政局。每年12月10日前，要将全年农机购置补贴政策实施（含试点工作开展情况）总结报告报送市农业农村局、市财政局。</w:t>
      </w:r>
      <w:r>
        <w:rPr>
          <w:rFonts w:hint="eastAsia" w:ascii="MS Mincho" w:hAnsi="MS Mincho" w:eastAsia="MS Mincho" w:cs="MS Mincho"/>
          <w:color w:val="000000"/>
          <w:sz w:val="32"/>
          <w:szCs w:val="32"/>
        </w:rPr>
        <w:t> </w:t>
      </w:r>
    </w:p>
    <w:p>
      <w:pPr>
        <w:pStyle w:val="3"/>
        <w:widowControl w:val="0"/>
        <w:snapToGrid w:val="0"/>
        <w:spacing w:before="0" w:beforeAutospacing="0" w:after="0" w:afterAutospacing="0" w:line="560" w:lineRule="exact"/>
        <w:ind w:firstLine="640" w:firstLineChars="200"/>
        <w:rPr>
          <w:rFonts w:ascii="FangSong_GB2312" w:hAnsi="FangSong_GB2312" w:eastAsia="FangSong_GB2312" w:cs="FangSong_GB2312"/>
          <w:color w:val="000000"/>
          <w:sz w:val="32"/>
          <w:szCs w:val="32"/>
        </w:rPr>
      </w:pP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附件： 2021—2023年青岛市农机购置补贴机具种类范</w:t>
      </w:r>
    </w:p>
    <w:p>
      <w:pPr>
        <w:pStyle w:val="3"/>
        <w:widowControl w:val="0"/>
        <w:snapToGrid w:val="0"/>
        <w:spacing w:before="0" w:beforeAutospacing="0" w:after="0" w:afterAutospacing="0" w:line="560" w:lineRule="exact"/>
        <w:ind w:firstLine="1609" w:firstLineChars="503"/>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围</w:t>
      </w:r>
    </w:p>
    <w:p>
      <w:pPr>
        <w:pStyle w:val="3"/>
        <w:widowControl w:val="0"/>
        <w:snapToGrid w:val="0"/>
        <w:spacing w:before="0" w:beforeAutospacing="0" w:after="0" w:afterAutospacing="0" w:line="560" w:lineRule="exact"/>
        <w:jc w:val="both"/>
        <w:rPr>
          <w:rFonts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附件1</w:t>
      </w:r>
    </w:p>
    <w:p>
      <w:pPr>
        <w:pStyle w:val="2"/>
        <w:widowControl w:val="0"/>
        <w:spacing w:before="0" w:beforeAutospacing="0" w:after="0" w:afterAutospacing="0" w:line="560" w:lineRule="exact"/>
        <w:jc w:val="center"/>
        <w:rPr>
          <w:rFonts w:ascii="方正小标宋_GBK" w:hAnsi="黑体" w:eastAsia="方正小标宋_GBK" w:cs="黑体"/>
          <w:b w:val="0"/>
          <w:bCs w:val="0"/>
          <w:sz w:val="32"/>
          <w:szCs w:val="32"/>
        </w:rPr>
      </w:pPr>
      <w:r>
        <w:rPr>
          <w:rFonts w:hint="eastAsia" w:ascii="方正小标宋_GBK" w:hAnsi="黑体" w:eastAsia="方正小标宋_GBK" w:cs="黑体"/>
          <w:b w:val="0"/>
          <w:bCs w:val="0"/>
          <w:sz w:val="32"/>
          <w:szCs w:val="32"/>
        </w:rPr>
        <w:t>2021—2023年青岛市农机购置补贴机具种类范围</w:t>
      </w:r>
    </w:p>
    <w:p>
      <w:pPr>
        <w:spacing w:line="560" w:lineRule="exact"/>
      </w:pP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1.耕整地机械</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1.1耕地机械</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1.1.1铧式犁</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1.1.2旋耕机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1.1.3深松机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FF0000"/>
          <w:sz w:val="32"/>
          <w:szCs w:val="32"/>
        </w:rPr>
        <w:t>1.1.4开沟机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1.1.5微耕机</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1.2整地机械</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1.2.1圆盘耙</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1.2.2起垄机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1.2.3灭茬机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1.2.4筑埂机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1.2.5铺膜机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1.2.6联合整地机</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2.种植施肥机械</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2.1播种机械</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2.1.1条播机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2.1.2穴播机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2.1.3小粒种子播种机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2.1.4根茎作物播种机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2.1.5免耕播种机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FF0000"/>
          <w:sz w:val="32"/>
          <w:szCs w:val="32"/>
        </w:rPr>
        <w:t>2.1.6铺膜播种机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2.1.7精量播种机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auto"/>
          <w:sz w:val="32"/>
          <w:szCs w:val="32"/>
        </w:rPr>
        <w:t>2.1.8整地施肥播种机</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2.2育苗机械设备</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2.2.1种子播前处理设备</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2.2.2营养钵压制机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2.2.3秧盘播种成套设备（含床土处理）</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2.3栽植机械</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2.3.1水稻插秧机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2.3.2秧苗移栽机</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2.4施肥机械</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FF0000"/>
          <w:sz w:val="32"/>
          <w:szCs w:val="32"/>
        </w:rPr>
        <w:t>2.4.1撒肥机</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3.田间管理机械</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3.1中耕机械</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FF0000"/>
          <w:sz w:val="32"/>
          <w:szCs w:val="32"/>
        </w:rPr>
        <w:t>3.1.1培土机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3.1.2田园管理机</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3.2植保机械</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3.2.1喷杆喷雾机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3.2.2风送喷雾机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3.2.3植保无人驾驶航空器</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3.3修剪机械</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3.3.1茶树修剪机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3.3.2果树修剪机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3.3.3枝条切碎机</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4.收获机械</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4.1谷物收获机械</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4.1.1自走轮式谷物联合收割机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4.1.2自走履带式谷物联合收割机（全喂入）</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4.1.3半喂入联合收割机</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4.2玉米收获机械</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4.2.1自走式玉米收获机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4.2.2自走式玉米籽粒联合收获机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4.2.3穗茎兼收玉米收获机</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4.3果实收获机械</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4.3.1辣椒收获机</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4.4蔬菜收获机械</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4.4.1果类蔬菜收获机</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4.5花卉（茶叶）采收机械</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 xml:space="preserve">4.5.1采茶机                                                                                                                                                                                                                                                                                                                                                     </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4.6根茎作物收获机械</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4.6.1薯类收获机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4.6.2花生收获机</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4.7饲料作物收获机械</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4.7.1割草机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FF0000"/>
          <w:sz w:val="32"/>
          <w:szCs w:val="32"/>
        </w:rPr>
        <w:t>4.7.2搂草机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4.7.3打（压）捆机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FF0000"/>
          <w:sz w:val="32"/>
          <w:szCs w:val="32"/>
        </w:rPr>
        <w:t>4.7.4圆草捆包膜机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4.7.5青饲料收获机</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4.8茎秆收集处理机械</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4.8.1秸秆粉碎还田机</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5.收获后处理机械</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5.1脱粒机械</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5.1.1玉米脱粒机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5.1.2花生摘果机</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5.2清选机械</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5.2.1风筛清选机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5.2.2重力清选机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5.2.3窝眼清选机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5.2.4复式清选机</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5.3干燥机械</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5.3.1谷物烘干机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5.3.2果蔬烘干机</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5.4种子加工机械</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5.4.1种子清选机</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6.农产品初加工机械</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6.1果蔬加工机械</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6.1.1水果分级机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6.1.2水果清洗机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6.1.3水果打蜡机</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6.2茶叶加工机械</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6.2.1茶叶杀青机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6.2.2茶叶揉捻机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6.2.3茶叶炒（烘）干机</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6.3剥壳（去皮）机械</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6.3.1花生脱壳机</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7.农用搬运机械</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7.1装卸机械</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FF0000"/>
          <w:sz w:val="32"/>
          <w:szCs w:val="32"/>
        </w:rPr>
        <w:t>7.1.1抓草机</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8.排灌机械</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8.1水泵</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8.1.1潜水电泵</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8.2喷灌机械设备</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8.2.1喷灌机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8.2.2微灌设备</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8.2.3灌溉首部（含灌溉水增压设备、过滤设备、水质软化设备、灌溉施肥一体化设备以及营养液消毒设备等）</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9.畜牧机械</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9.1饲料（草）加工机械设备</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9.1.1铡草机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9.1.2青贮切碎机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9.1.3揉丝机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9.1.4压块机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9.1.5饲料（草）粉碎机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9.1.6饲料混合机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9.1.7颗粒饲料压制机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9.1.8饲料制备（搅拌）机</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9.2饲养机械</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9.2.1孵化机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9.2.2喂料机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9.2.3送料机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9.2.4清粪机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9.2.5粪污固液分离机</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9.3畜产品采集加工机械设备</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9.3.1挤奶机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9.3.2贮奶（冷藏）罐</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10.水产机械</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10.1水产养殖机械</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10.1.1增氧机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10.1.2投饲机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10.1.3网箱养殖设备</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10.2水产捕捞机械</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10.2.1绞纲机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10.2.2船用油污水分离装置</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11.农业废弃物利用处理设备</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11.1废弃物处理设备</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11.1.1废弃物料烘干机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11.1.2残膜回收机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11.1.3沼液沼渣抽排设备</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11.1.4秸秆压块（粒、棒）机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11.1.5病死畜禽无害化处理设备</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11.1.6有机废弃物好氧发酵翻堆机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11.1.7有机废弃物干式厌氧发酵装置</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12.农田基本建设机械</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12.1挖掘机械</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12.1.1挖坑机</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12.2平地机械</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12.2.1平地机</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13.设施农业设备</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13.1温室大棚设备</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13.1.1电动卷帘机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13.1.2热风炉</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13.2食用菌生产设备</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13.2.1蒸汽灭菌设备</w:t>
      </w:r>
      <w:bookmarkStart w:id="0" w:name="_GoBack"/>
      <w:bookmarkEnd w:id="0"/>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FF0000"/>
          <w:sz w:val="32"/>
          <w:szCs w:val="32"/>
        </w:rPr>
        <w:t>13.2.2食用菌料装瓶（袋）机</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14.动力机械</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14.1拖拉机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14.1.1轮式拖拉机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14.1.2履带式拖拉机</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15.其他机械</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15.1养蜂设备</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15.1.1养蜂平台</w:t>
      </w:r>
    </w:p>
    <w:p>
      <w:pPr>
        <w:pStyle w:val="3"/>
        <w:widowControl w:val="0"/>
        <w:snapToGrid w:val="0"/>
        <w:spacing w:before="0" w:beforeAutospacing="0" w:after="0" w:afterAutospacing="0" w:line="560" w:lineRule="exact"/>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 xml:space="preserve">  15.2其他机械</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15.2.1驱动耙</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15.2.2水帘降温设备</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15.2.3热水加温系统</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15.2.4简易保鲜储藏设备</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15.2.5水井钻机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15.2.6旋耕播种机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15.2.7大米色选机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15.2.8杂粮色选机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15.2.9秸秆膨化机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15.2.10畜禽粪便发酵处理机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15.2.11农业用北斗终端（含渔船用）</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15.2.12沼气发电机组</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15.2.13有机肥加工设备</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15.2.14茶叶色选机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15.2.15根（块）茎作物收获机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15.2.16果园作业平台</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15.2.17果园轨道运输机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15.2.18秸秆收集机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FF0000"/>
          <w:sz w:val="32"/>
          <w:szCs w:val="32"/>
        </w:rPr>
      </w:pPr>
      <w:r>
        <w:rPr>
          <w:rFonts w:hint="eastAsia" w:ascii="FangSong_GB2312" w:hAnsi="FangSong_GB2312" w:eastAsia="FangSong_GB2312" w:cs="FangSong_GB2312"/>
          <w:color w:val="FF0000"/>
          <w:sz w:val="32"/>
          <w:szCs w:val="32"/>
        </w:rPr>
        <w:t>15.2.19水产养殖水质监控设备</w:t>
      </w:r>
    </w:p>
    <w:p>
      <w:pPr>
        <w:pStyle w:val="3"/>
        <w:widowControl w:val="0"/>
        <w:snapToGrid w:val="0"/>
        <w:spacing w:before="0" w:beforeAutospacing="0" w:after="0" w:afterAutospacing="0" w:line="560" w:lineRule="exact"/>
        <w:ind w:firstLine="320" w:firstLineChars="100"/>
        <w:jc w:val="both"/>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15.3专项鉴定产品</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B050"/>
          <w:sz w:val="32"/>
          <w:szCs w:val="32"/>
        </w:rPr>
      </w:pPr>
      <w:r>
        <w:rPr>
          <w:rFonts w:hint="eastAsia" w:ascii="FangSong_GB2312" w:hAnsi="FangSong_GB2312" w:eastAsia="FangSong_GB2312" w:cs="FangSong_GB2312"/>
          <w:color w:val="00B050"/>
          <w:sz w:val="32"/>
          <w:szCs w:val="32"/>
        </w:rPr>
        <w:t>15.3.1大葱收获机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color w:val="00B050"/>
          <w:sz w:val="32"/>
          <w:szCs w:val="32"/>
        </w:rPr>
      </w:pPr>
      <w:r>
        <w:rPr>
          <w:rFonts w:hint="eastAsia" w:ascii="FangSong_GB2312" w:hAnsi="FangSong_GB2312" w:eastAsia="FangSong_GB2312" w:cs="FangSong_GB2312"/>
          <w:color w:val="00B050"/>
          <w:sz w:val="32"/>
          <w:szCs w:val="32"/>
        </w:rPr>
        <w:t>15.3.2辣椒除柄机</w:t>
      </w:r>
    </w:p>
    <w:p>
      <w:pPr>
        <w:pStyle w:val="3"/>
        <w:widowControl w:val="0"/>
        <w:snapToGrid w:val="0"/>
        <w:spacing w:before="0" w:beforeAutospacing="0" w:after="0" w:afterAutospacing="0" w:line="560" w:lineRule="exact"/>
        <w:ind w:firstLine="640"/>
        <w:jc w:val="both"/>
        <w:rPr>
          <w:rFonts w:ascii="FangSong_GB2312" w:hAnsi="FangSong_GB2312" w:eastAsia="FangSong_GB2312" w:cs="FangSong_GB2312"/>
          <w:sz w:val="32"/>
          <w:szCs w:val="32"/>
        </w:rPr>
      </w:pPr>
    </w:p>
    <w:p>
      <w:pPr>
        <w:spacing w:line="560" w:lineRule="exact"/>
      </w:pP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Microsoft YaHei">
    <w:altName w:val="方正黑体_GBK"/>
    <w:panose1 w:val="00000000000000000000"/>
    <w:charset w:val="86"/>
    <w:family w:val="swiss"/>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STZhongsong">
    <w:altName w:val="方正细黑一_GBK"/>
    <w:panose1 w:val="00000000000000000000"/>
    <w:charset w:val="86"/>
    <w:family w:val="auto"/>
    <w:pitch w:val="default"/>
    <w:sig w:usb0="00000000" w:usb1="00000000" w:usb2="00000010" w:usb3="00000000" w:csb0="0004009F" w:csb1="00000000"/>
  </w:font>
  <w:font w:name="楷体">
    <w:altName w:val="方正楷体_GBK"/>
    <w:panose1 w:val="02010609060101010101"/>
    <w:charset w:val="86"/>
    <w:family w:val="modern"/>
    <w:pitch w:val="default"/>
    <w:sig w:usb0="00000000" w:usb1="00000000" w:usb2="00000016" w:usb3="00000000" w:csb0="00040001" w:csb1="00000000"/>
  </w:font>
  <w:font w:name="FangSong_GB2312">
    <w:altName w:val="方正仿宋_GBK"/>
    <w:panose1 w:val="02010609060101010101"/>
    <w:charset w:val="86"/>
    <w:family w:val="modern"/>
    <w:pitch w:val="default"/>
    <w:sig w:usb0="00000000" w:usb1="00000000" w:usb2="00000016" w:usb3="00000000" w:csb0="00040001" w:csb1="00000000"/>
  </w:font>
  <w:font w:name="MS Mincho">
    <w:altName w:val="方正黑体_GBK"/>
    <w:panose1 w:val="02020609040205080304"/>
    <w:charset w:val="80"/>
    <w:family w:val="modern"/>
    <w:pitch w:val="default"/>
    <w:sig w:usb0="00000000" w:usb1="00000000" w:usb2="00000012" w:usb3="00000000" w:csb0="0002009F" w:csb1="00000000"/>
  </w:font>
  <w:font w:name="仿宋">
    <w:altName w:val="方正仿宋_GBK"/>
    <w:panose1 w:val="02010609060101010101"/>
    <w:charset w:val="86"/>
    <w:family w:val="modern"/>
    <w:pitch w:val="default"/>
    <w:sig w:usb0="00000000" w:usb1="00000000" w:usb2="00000016" w:usb3="00000000" w:csb0="00040001" w:csb1="00000000"/>
  </w:font>
  <w:font w:name="KaiTi_GB2312">
    <w:altName w:val="HanaMinA"/>
    <w:panose1 w:val="02010609060101010101"/>
    <w:charset w:val="86"/>
    <w:family w:val="modern"/>
    <w:pitch w:val="default"/>
    <w:sig w:usb0="00000000" w:usb1="00000000" w:usb2="00000010"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HanaMinA">
    <w:panose1 w:val="02000609000000000000"/>
    <w:charset w:val="80"/>
    <w:family w:val="auto"/>
    <w:pitch w:val="default"/>
    <w:sig w:usb0="00000001" w:usb1="0A000000" w:usb2="00000000" w:usb3="00000000" w:csb0="00020001"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true"/>
  <w:bordersDoNotSurroundFooter w:val="true"/>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65B7D"/>
    <w:rsid w:val="0016696E"/>
    <w:rsid w:val="00323B43"/>
    <w:rsid w:val="003D37D8"/>
    <w:rsid w:val="00426133"/>
    <w:rsid w:val="004358AB"/>
    <w:rsid w:val="00587871"/>
    <w:rsid w:val="008B7726"/>
    <w:rsid w:val="00D31D50"/>
    <w:rsid w:val="00F70488"/>
    <w:rsid w:val="BECBD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Microsoft YaHe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6"/>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character" w:customStyle="1" w:styleId="6">
    <w:name w:val="标题 1 Char"/>
    <w:basedOn w:val="5"/>
    <w:link w:val="2"/>
    <w:uiPriority w:val="0"/>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1141</Words>
  <Characters>6510</Characters>
  <Lines>54</Lines>
  <Paragraphs>15</Paragraphs>
  <TotalTime>219</TotalTime>
  <ScaleCrop>false</ScaleCrop>
  <LinksUpToDate>false</LinksUpToDate>
  <CharactersWithSpaces>7636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uos</dc:creator>
  <cp:lastModifiedBy>uos</cp:lastModifiedBy>
  <dcterms:modified xsi:type="dcterms:W3CDTF">2021-07-05T17:27:03Z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